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  <w:r w:rsidRPr="00291817">
        <w:rPr>
          <w:b/>
          <w:sz w:val="28"/>
          <w:szCs w:val="28"/>
          <w:lang w:val="uk-UA"/>
        </w:rPr>
        <w:t xml:space="preserve">Умови проведення біржових торгів з реалізації нафтопродуктів ПАТ «Укргазвидобування» виробництва </w:t>
      </w:r>
      <w:proofErr w:type="spellStart"/>
      <w:r w:rsidRPr="00291817">
        <w:rPr>
          <w:b/>
          <w:sz w:val="28"/>
          <w:szCs w:val="28"/>
          <w:lang w:val="uk-UA"/>
        </w:rPr>
        <w:t>Шебелинського</w:t>
      </w:r>
      <w:proofErr w:type="spellEnd"/>
      <w:r w:rsidRPr="00291817">
        <w:rPr>
          <w:b/>
          <w:sz w:val="28"/>
          <w:szCs w:val="28"/>
          <w:lang w:val="uk-UA"/>
        </w:rPr>
        <w:t xml:space="preserve"> ВПГКН з </w:t>
      </w:r>
      <w:r w:rsidR="00406C34">
        <w:rPr>
          <w:b/>
          <w:sz w:val="28"/>
          <w:szCs w:val="28"/>
          <w:lang w:val="uk-UA"/>
        </w:rPr>
        <w:t>довгостроковим</w:t>
      </w:r>
      <w:r>
        <w:rPr>
          <w:b/>
          <w:sz w:val="28"/>
          <w:szCs w:val="28"/>
          <w:lang w:val="uk-UA"/>
        </w:rPr>
        <w:t xml:space="preserve"> </w:t>
      </w:r>
      <w:r w:rsidRPr="00291817">
        <w:rPr>
          <w:b/>
          <w:sz w:val="28"/>
          <w:szCs w:val="28"/>
          <w:lang w:val="uk-UA"/>
        </w:rPr>
        <w:t>періодом постачання</w:t>
      </w:r>
      <w:r>
        <w:rPr>
          <w:b/>
          <w:sz w:val="28"/>
          <w:szCs w:val="28"/>
          <w:lang w:val="uk-UA"/>
        </w:rPr>
        <w:t>.</w:t>
      </w:r>
    </w:p>
    <w:p w:rsid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291817" w:rsidRPr="00291817" w:rsidRDefault="00291817" w:rsidP="00291817">
      <w:pPr>
        <w:jc w:val="center"/>
        <w:rPr>
          <w:b/>
          <w:sz w:val="28"/>
          <w:szCs w:val="28"/>
          <w:lang w:val="uk-UA"/>
        </w:rPr>
      </w:pPr>
    </w:p>
    <w:p w:rsidR="00EB2537" w:rsidRPr="00F403E2" w:rsidRDefault="00EB2537" w:rsidP="00291817">
      <w:pPr>
        <w:tabs>
          <w:tab w:val="left" w:pos="3855"/>
        </w:tabs>
        <w:jc w:val="center"/>
        <w:rPr>
          <w:b/>
          <w:i/>
          <w:sz w:val="26"/>
          <w:szCs w:val="26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Дата біржових торгів:  </w:t>
      </w:r>
      <w:r w:rsidR="00993E42" w:rsidRPr="00993E42">
        <w:rPr>
          <w:b/>
          <w:sz w:val="26"/>
          <w:szCs w:val="26"/>
        </w:rPr>
        <w:t>06</w:t>
      </w:r>
      <w:r w:rsidR="00993E42">
        <w:rPr>
          <w:b/>
          <w:sz w:val="26"/>
          <w:szCs w:val="26"/>
          <w:lang w:val="uk-UA"/>
        </w:rPr>
        <w:t xml:space="preserve"> </w:t>
      </w:r>
      <w:proofErr w:type="spellStart"/>
      <w:r w:rsidR="00993E42">
        <w:rPr>
          <w:b/>
          <w:sz w:val="26"/>
          <w:szCs w:val="26"/>
        </w:rPr>
        <w:t>кв</w:t>
      </w:r>
      <w:r w:rsidR="00993E42">
        <w:rPr>
          <w:b/>
          <w:sz w:val="26"/>
          <w:szCs w:val="26"/>
          <w:lang w:val="uk-UA"/>
        </w:rPr>
        <w:t>ітня</w:t>
      </w:r>
      <w:proofErr w:type="spellEnd"/>
      <w:r w:rsidRPr="00F403E2">
        <w:rPr>
          <w:b/>
          <w:sz w:val="26"/>
          <w:szCs w:val="26"/>
          <w:lang w:val="uk-UA"/>
        </w:rPr>
        <w:t xml:space="preserve"> 201</w:t>
      </w:r>
      <w:r w:rsidR="003A2AF0" w:rsidRPr="00F403E2">
        <w:rPr>
          <w:b/>
          <w:sz w:val="26"/>
          <w:szCs w:val="26"/>
          <w:lang w:val="uk-UA"/>
        </w:rPr>
        <w:t>7</w:t>
      </w:r>
      <w:r w:rsidRPr="00F403E2">
        <w:rPr>
          <w:b/>
          <w:sz w:val="26"/>
          <w:szCs w:val="26"/>
          <w:lang w:val="uk-UA"/>
        </w:rPr>
        <w:t xml:space="preserve"> року.</w:t>
      </w:r>
    </w:p>
    <w:p w:rsidR="00E377D1" w:rsidRPr="00F403E2" w:rsidRDefault="00E377D1" w:rsidP="00E377D1">
      <w:pPr>
        <w:ind w:firstLine="720"/>
        <w:jc w:val="both"/>
        <w:rPr>
          <w:color w:val="000000"/>
          <w:sz w:val="26"/>
          <w:szCs w:val="26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090"/>
        <w:gridCol w:w="1994"/>
        <w:gridCol w:w="3203"/>
      </w:tblGrid>
      <w:tr w:rsidR="00E377D1" w:rsidRPr="00F403E2" w:rsidTr="00C85EDF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Назва нафтопродукту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Кількість</w:t>
            </w:r>
            <w:r w:rsidR="007A1053" w:rsidRPr="00F403E2">
              <w:rPr>
                <w:lang w:val="uk-UA" w:eastAsia="en-US"/>
              </w:rPr>
              <w:t>,</w:t>
            </w:r>
            <w:r w:rsidRPr="00F403E2">
              <w:rPr>
                <w:lang w:val="uk-UA" w:eastAsia="en-US"/>
              </w:rPr>
              <w:t xml:space="preserve"> </w:t>
            </w:r>
            <w:proofErr w:type="spellStart"/>
            <w:r w:rsidRPr="00F403E2">
              <w:rPr>
                <w:lang w:val="uk-UA" w:eastAsia="en-US"/>
              </w:rPr>
              <w:t>тон</w:t>
            </w:r>
            <w:r w:rsidR="00F403E2">
              <w:rPr>
                <w:lang w:val="uk-UA" w:eastAsia="en-US"/>
              </w:rPr>
              <w:t>н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left="-108" w:right="-108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Період поставки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D1" w:rsidRPr="00F403E2" w:rsidRDefault="00E377D1" w:rsidP="000546D7">
            <w:pPr>
              <w:spacing w:line="276" w:lineRule="auto"/>
              <w:ind w:right="176"/>
              <w:jc w:val="center"/>
              <w:rPr>
                <w:lang w:val="uk-UA" w:eastAsia="en-US"/>
              </w:rPr>
            </w:pPr>
            <w:r w:rsidRPr="00F403E2">
              <w:rPr>
                <w:lang w:val="uk-UA" w:eastAsia="en-US"/>
              </w:rPr>
              <w:t>Базис постачання</w:t>
            </w:r>
          </w:p>
        </w:tc>
      </w:tr>
      <w:tr w:rsidR="00DD502A" w:rsidRPr="00F403E2" w:rsidTr="00C85EDF">
        <w:trPr>
          <w:trHeight w:val="9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2A" w:rsidRPr="00F403E2" w:rsidRDefault="00037C26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Бензин А-92-Євро5</w:t>
            </w:r>
            <w:r w:rsidR="00DD502A" w:rsidRPr="00F403E2">
              <w:rPr>
                <w:sz w:val="20"/>
                <w:szCs w:val="20"/>
                <w:lang w:val="uk-UA" w:eastAsia="en-US"/>
              </w:rPr>
              <w:t>-Е5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4" w:rsidRPr="00F403E2" w:rsidRDefault="00993E42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1000</w:t>
            </w:r>
            <w:r w:rsidR="00DD502A" w:rsidRPr="00F403E2">
              <w:rPr>
                <w:sz w:val="20"/>
                <w:szCs w:val="20"/>
                <w:lang w:val="uk-UA" w:eastAsia="en-US"/>
              </w:rPr>
              <w:t xml:space="preserve"> т</w:t>
            </w:r>
          </w:p>
          <w:p w:rsidR="00DD502A" w:rsidRPr="00F403E2" w:rsidRDefault="00A828C7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="00DD502A"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="00DD502A"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 w:rsidR="00993E42">
              <w:rPr>
                <w:sz w:val="20"/>
                <w:szCs w:val="20"/>
                <w:lang w:val="uk-UA" w:eastAsia="en-US"/>
              </w:rPr>
              <w:t>в опціоні продавця</w:t>
            </w:r>
            <w:r w:rsidR="00DD502A" w:rsidRPr="00F403E2"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2A" w:rsidRPr="00F403E2" w:rsidRDefault="00037C26" w:rsidP="00993E42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квітень</w:t>
            </w:r>
            <w:r w:rsidR="00993E42">
              <w:rPr>
                <w:sz w:val="20"/>
                <w:szCs w:val="20"/>
                <w:lang w:val="uk-UA" w:eastAsia="en-US"/>
              </w:rPr>
              <w:t xml:space="preserve"> 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DD502A" w:rsidRPr="00F403E2" w:rsidRDefault="00DD502A" w:rsidP="009B70D4">
            <w:pPr>
              <w:spacing w:line="276" w:lineRule="auto"/>
              <w:ind w:right="176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</w:t>
            </w:r>
            <w:r w:rsidR="00213CE9" w:rsidRPr="00F403E2">
              <w:rPr>
                <w:b/>
                <w:sz w:val="20"/>
                <w:szCs w:val="20"/>
                <w:lang w:val="uk-UA" w:eastAsia="en-US"/>
              </w:rPr>
              <w:t>: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залізничним транспортом/автотранспортом</w:t>
            </w:r>
          </w:p>
        </w:tc>
      </w:tr>
      <w:tr w:rsidR="003A2AF0" w:rsidRPr="00F403E2" w:rsidTr="00B320CD">
        <w:trPr>
          <w:trHeight w:val="74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F403E2" w:rsidRDefault="003A2AF0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>Бензин А-95-Євро5-Е5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F403E2" w:rsidRDefault="00993E42" w:rsidP="009B70D4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500</w:t>
            </w:r>
            <w:r w:rsidR="003A2AF0" w:rsidRPr="00F403E2">
              <w:rPr>
                <w:sz w:val="20"/>
                <w:szCs w:val="20"/>
                <w:lang w:val="uk-UA" w:eastAsia="en-US"/>
              </w:rPr>
              <w:t xml:space="preserve"> т</w:t>
            </w:r>
          </w:p>
          <w:p w:rsidR="003A2AF0" w:rsidRPr="00F403E2" w:rsidRDefault="00F05F1A" w:rsidP="00F05F1A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r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 w:rsidR="00993E42">
              <w:rPr>
                <w:color w:val="FF0000"/>
                <w:sz w:val="20"/>
                <w:szCs w:val="20"/>
                <w:lang w:val="uk-UA" w:eastAsia="en-US"/>
              </w:rPr>
              <w:t>(+/-10</w:t>
            </w:r>
            <w:r w:rsidR="00993E42" w:rsidRPr="006F6161">
              <w:rPr>
                <w:color w:val="FF0000"/>
                <w:sz w:val="20"/>
                <w:szCs w:val="20"/>
                <w:lang w:val="uk-UA" w:eastAsia="en-US"/>
              </w:rPr>
              <w:t xml:space="preserve">% </w:t>
            </w:r>
            <w:r w:rsidR="00993E42" w:rsidRPr="00F403E2">
              <w:rPr>
                <w:sz w:val="20"/>
                <w:szCs w:val="20"/>
                <w:lang w:val="uk-UA" w:eastAsia="en-US"/>
              </w:rPr>
              <w:t xml:space="preserve"> </w:t>
            </w:r>
            <w:r w:rsidR="00993E42">
              <w:rPr>
                <w:sz w:val="20"/>
                <w:szCs w:val="20"/>
                <w:lang w:val="uk-UA" w:eastAsia="en-US"/>
              </w:rPr>
              <w:t>в опціоні продавця</w:t>
            </w:r>
            <w:r w:rsidR="00993E42" w:rsidRPr="00F403E2"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2" w:rsidRPr="00F403E2" w:rsidRDefault="00037C26" w:rsidP="00993E42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квітень</w:t>
            </w:r>
            <w:r w:rsidR="00F05F1A" w:rsidRPr="00F403E2">
              <w:rPr>
                <w:sz w:val="20"/>
                <w:szCs w:val="20"/>
                <w:lang w:val="uk-UA" w:eastAsia="en-US"/>
              </w:rPr>
              <w:t xml:space="preserve"> 2017</w:t>
            </w:r>
          </w:p>
          <w:p w:rsidR="003A2AF0" w:rsidRPr="00F403E2" w:rsidRDefault="003A2AF0" w:rsidP="009B70D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color w:val="4472C4" w:themeColor="accent5"/>
                <w:sz w:val="20"/>
                <w:szCs w:val="20"/>
                <w:lang w:val="uk-UA" w:eastAsia="en-US"/>
              </w:rPr>
              <w:t>EXW</w:t>
            </w:r>
            <w:r w:rsidRPr="00F403E2">
              <w:rPr>
                <w:b/>
                <w:color w:val="0000FF"/>
                <w:sz w:val="20"/>
                <w:szCs w:val="20"/>
                <w:lang w:val="uk-UA" w:eastAsia="en-US"/>
              </w:rPr>
              <w:t xml:space="preserve"> </w:t>
            </w:r>
            <w:r w:rsidRPr="00F403E2">
              <w:rPr>
                <w:b/>
                <w:sz w:val="20"/>
                <w:szCs w:val="20"/>
                <w:lang w:val="uk-UA" w:eastAsia="en-US"/>
              </w:rPr>
              <w:t>резервуар заводу (</w:t>
            </w:r>
            <w:proofErr w:type="spellStart"/>
            <w:r w:rsidRPr="00F403E2">
              <w:rPr>
                <w:b/>
                <w:sz w:val="20"/>
                <w:szCs w:val="20"/>
                <w:lang w:val="uk-UA" w:eastAsia="en-US"/>
              </w:rPr>
              <w:t>Шебелинський</w:t>
            </w:r>
            <w:proofErr w:type="spellEnd"/>
            <w:r w:rsidRPr="00F403E2">
              <w:rPr>
                <w:b/>
                <w:sz w:val="20"/>
                <w:szCs w:val="20"/>
                <w:lang w:val="uk-UA" w:eastAsia="en-US"/>
              </w:rPr>
              <w:t xml:space="preserve"> ВПГКН)</w:t>
            </w:r>
          </w:p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A2AF0" w:rsidRPr="00F403E2" w:rsidRDefault="003A2AF0" w:rsidP="009B70D4">
            <w:pPr>
              <w:spacing w:line="276" w:lineRule="auto"/>
              <w:ind w:right="176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F403E2">
              <w:rPr>
                <w:b/>
                <w:sz w:val="20"/>
                <w:szCs w:val="20"/>
                <w:lang w:val="uk-UA" w:eastAsia="en-US"/>
              </w:rPr>
              <w:t>Відвантаження: залізничним транспортом/автотранспортом</w:t>
            </w:r>
          </w:p>
        </w:tc>
      </w:tr>
    </w:tbl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>До участі в біржових торгах, допускаються контрагенти, що пройшли акредитацію на майданчику Української Енергетичної Біржі, та сплатили гарантійни</w:t>
      </w:r>
      <w:r w:rsidR="00E904E4" w:rsidRPr="00F403E2">
        <w:rPr>
          <w:b/>
          <w:sz w:val="26"/>
          <w:szCs w:val="26"/>
          <w:lang w:val="uk-UA"/>
        </w:rPr>
        <w:t>й внесок, згідно з регламентом.</w:t>
      </w:r>
    </w:p>
    <w:p w:rsidR="00E377D1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color w:val="0000FF"/>
          <w:sz w:val="26"/>
          <w:szCs w:val="26"/>
          <w:lang w:val="uk-UA"/>
        </w:rPr>
      </w:pPr>
      <w:r w:rsidRPr="00F403E2">
        <w:rPr>
          <w:color w:val="0000FF"/>
          <w:sz w:val="26"/>
          <w:szCs w:val="26"/>
          <w:lang w:val="uk-UA"/>
        </w:rPr>
        <w:t>Умови реалізації товару: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Продавець: </w:t>
      </w:r>
      <w:r w:rsidRPr="00F403E2">
        <w:rPr>
          <w:b/>
          <w:i/>
          <w:sz w:val="26"/>
          <w:szCs w:val="26"/>
          <w:lang w:val="uk-UA"/>
        </w:rPr>
        <w:t>ПАТ «Укргазвидобування»</w:t>
      </w:r>
      <w:r w:rsidRPr="00F403E2">
        <w:rPr>
          <w:sz w:val="26"/>
          <w:szCs w:val="26"/>
          <w:lang w:val="uk-UA"/>
        </w:rPr>
        <w:t>.</w:t>
      </w:r>
    </w:p>
    <w:p w:rsidR="00E377D1" w:rsidRPr="00F403E2" w:rsidRDefault="00E377D1" w:rsidP="00E377D1">
      <w:pPr>
        <w:ind w:firstLine="720"/>
        <w:jc w:val="both"/>
        <w:rPr>
          <w:sz w:val="10"/>
          <w:szCs w:val="10"/>
          <w:lang w:val="uk-UA"/>
        </w:rPr>
      </w:pP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Якість продукції: згідно з </w:t>
      </w:r>
      <w:r w:rsidR="0010061B" w:rsidRPr="00F403E2">
        <w:rPr>
          <w:sz w:val="26"/>
          <w:szCs w:val="26"/>
          <w:lang w:val="uk-UA"/>
        </w:rPr>
        <w:t>Паспортом якості</w:t>
      </w:r>
      <w:r w:rsidRPr="00F403E2">
        <w:rPr>
          <w:sz w:val="26"/>
          <w:szCs w:val="26"/>
          <w:lang w:val="uk-UA"/>
        </w:rPr>
        <w:t xml:space="preserve">: </w:t>
      </w:r>
    </w:p>
    <w:p w:rsidR="00C85EDF" w:rsidRPr="00F403E2" w:rsidRDefault="00E377D1" w:rsidP="00C85ED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>Додаток 1</w:t>
      </w:r>
      <w:r w:rsidRPr="00F403E2">
        <w:rPr>
          <w:sz w:val="26"/>
          <w:szCs w:val="26"/>
          <w:lang w:val="uk-UA"/>
        </w:rPr>
        <w:t xml:space="preserve"> </w:t>
      </w:r>
      <w:r w:rsidR="00C85EDF" w:rsidRPr="00F403E2">
        <w:rPr>
          <w:sz w:val="26"/>
          <w:szCs w:val="26"/>
          <w:lang w:val="uk-UA"/>
        </w:rPr>
        <w:t>для Бензину А-92-Євро4-Е5. Сертифікат відповідності.</w:t>
      </w:r>
    </w:p>
    <w:p w:rsidR="00DD502A" w:rsidRDefault="00C85EDF" w:rsidP="00C85ED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2</w:t>
      </w:r>
      <w:r w:rsidRPr="00F403E2">
        <w:rPr>
          <w:sz w:val="26"/>
          <w:szCs w:val="26"/>
          <w:lang w:val="uk-UA"/>
        </w:rPr>
        <w:t xml:space="preserve"> для Бензину А-95-Євро5-Е5. Сертифікат відповідн</w:t>
      </w:r>
      <w:r w:rsidR="00B90038" w:rsidRPr="00C85EDF">
        <w:rPr>
          <w:sz w:val="26"/>
          <w:szCs w:val="26"/>
          <w:lang w:val="uk-UA"/>
        </w:rPr>
        <w:t>ості.</w:t>
      </w:r>
    </w:p>
    <w:p w:rsidR="00037C26" w:rsidRPr="00C85EDF" w:rsidRDefault="00037C26" w:rsidP="00037C26">
      <w:pPr>
        <w:ind w:left="786"/>
        <w:jc w:val="both"/>
        <w:rPr>
          <w:sz w:val="26"/>
          <w:szCs w:val="26"/>
          <w:lang w:val="uk-UA"/>
        </w:rPr>
      </w:pPr>
    </w:p>
    <w:p w:rsidR="005D0AF2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 xml:space="preserve">Товар пропонується до реалізації </w:t>
      </w:r>
      <w:r w:rsidR="006D6428" w:rsidRPr="00F403E2">
        <w:rPr>
          <w:b/>
          <w:sz w:val="26"/>
          <w:szCs w:val="26"/>
          <w:lang w:val="uk-UA"/>
        </w:rPr>
        <w:t>в наступних об’ємах</w:t>
      </w:r>
      <w:r w:rsidRPr="00F403E2">
        <w:rPr>
          <w:b/>
          <w:sz w:val="26"/>
          <w:szCs w:val="26"/>
          <w:lang w:val="uk-UA"/>
        </w:rPr>
        <w:t>:</w:t>
      </w:r>
    </w:p>
    <w:p w:rsidR="005D0AF2" w:rsidRPr="00F403E2" w:rsidRDefault="00E377D1" w:rsidP="00E377D1">
      <w:pPr>
        <w:ind w:firstLine="720"/>
        <w:jc w:val="both"/>
        <w:rPr>
          <w:b/>
          <w:sz w:val="26"/>
          <w:szCs w:val="26"/>
          <w:lang w:val="uk-UA"/>
        </w:rPr>
      </w:pPr>
      <w:r w:rsidRPr="00F403E2">
        <w:rPr>
          <w:b/>
          <w:sz w:val="26"/>
          <w:szCs w:val="26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61"/>
        <w:gridCol w:w="1125"/>
        <w:gridCol w:w="1125"/>
        <w:gridCol w:w="1492"/>
        <w:gridCol w:w="1650"/>
        <w:gridCol w:w="1637"/>
      </w:tblGrid>
      <w:tr w:rsidR="005D0AF2" w:rsidRPr="00F403E2" w:rsidTr="006F6161">
        <w:tc>
          <w:tcPr>
            <w:tcW w:w="1555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Товар</w:t>
            </w:r>
          </w:p>
        </w:tc>
        <w:tc>
          <w:tcPr>
            <w:tcW w:w="761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Лот, т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Кількість лотів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Всього, т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Ринковий диференціал, доларів США,(D)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Спосіб відвантаження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5D0AF2" w:rsidRPr="00F403E2" w:rsidRDefault="005D0AF2" w:rsidP="005D0AF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Період відвантаження</w:t>
            </w:r>
          </w:p>
        </w:tc>
      </w:tr>
      <w:tr w:rsidR="00DD502A" w:rsidRPr="00F403E2" w:rsidTr="006F6161">
        <w:tc>
          <w:tcPr>
            <w:tcW w:w="1555" w:type="dxa"/>
            <w:shd w:val="clear" w:color="000000" w:fill="FFFFFF"/>
            <w:vAlign w:val="center"/>
          </w:tcPr>
          <w:p w:rsidR="00DD502A" w:rsidRPr="00F403E2" w:rsidRDefault="00037C26" w:rsidP="00DD502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Бензин А-92-Євро5</w:t>
            </w:r>
            <w:r w:rsidR="00DD502A" w:rsidRPr="00F403E2">
              <w:rPr>
                <w:b/>
                <w:bCs/>
                <w:sz w:val="22"/>
                <w:szCs w:val="22"/>
                <w:lang w:val="uk-UA"/>
              </w:rPr>
              <w:t>-Е5</w:t>
            </w:r>
          </w:p>
        </w:tc>
        <w:tc>
          <w:tcPr>
            <w:tcW w:w="761" w:type="dxa"/>
            <w:shd w:val="clear" w:color="000000" w:fill="FFFFFF"/>
            <w:vAlign w:val="center"/>
          </w:tcPr>
          <w:p w:rsidR="00DD502A" w:rsidRPr="00F403E2" w:rsidRDefault="00A246BA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993E42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DD502A" w:rsidRPr="00F403E2" w:rsidRDefault="00993E42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DD502A" w:rsidRPr="00F403E2" w:rsidRDefault="00993E42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F05F1A" w:rsidRPr="00F403E2">
              <w:rPr>
                <w:color w:val="000000"/>
                <w:sz w:val="22"/>
                <w:szCs w:val="22"/>
                <w:lang w:val="uk-UA"/>
              </w:rPr>
              <w:t> 000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DD502A" w:rsidRPr="00F403E2" w:rsidRDefault="00A246BA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D502A" w:rsidRPr="00F403E2" w:rsidRDefault="00DD502A" w:rsidP="00DD502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Залізниця/авто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DD502A" w:rsidRPr="00F403E2" w:rsidRDefault="00993E42" w:rsidP="00DD502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10.04.2017-30.04</w:t>
            </w:r>
            <w:r w:rsidR="0008405F" w:rsidRPr="00F403E2">
              <w:rPr>
                <w:b/>
                <w:bCs/>
                <w:sz w:val="22"/>
                <w:szCs w:val="22"/>
                <w:lang w:val="uk-UA"/>
              </w:rPr>
              <w:t>.2017</w:t>
            </w:r>
          </w:p>
        </w:tc>
      </w:tr>
      <w:tr w:rsidR="00B90038" w:rsidRPr="00F403E2" w:rsidTr="006F6161">
        <w:tc>
          <w:tcPr>
            <w:tcW w:w="1555" w:type="dxa"/>
            <w:shd w:val="clear" w:color="000000" w:fill="FFFFFF"/>
            <w:vAlign w:val="center"/>
          </w:tcPr>
          <w:p w:rsidR="00B90038" w:rsidRPr="00F403E2" w:rsidRDefault="00B90038" w:rsidP="00B900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03E2">
              <w:rPr>
                <w:b/>
                <w:bCs/>
                <w:sz w:val="22"/>
                <w:szCs w:val="22"/>
                <w:lang w:val="uk-UA"/>
              </w:rPr>
              <w:t>Бензин А-95-Євро5-Е5</w:t>
            </w:r>
          </w:p>
        </w:tc>
        <w:tc>
          <w:tcPr>
            <w:tcW w:w="761" w:type="dxa"/>
            <w:shd w:val="clear" w:color="000000" w:fill="FFFFFF"/>
            <w:vAlign w:val="center"/>
          </w:tcPr>
          <w:p w:rsidR="00B90038" w:rsidRPr="00F403E2" w:rsidRDefault="00993E42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B90038" w:rsidRPr="00F403E2" w:rsidRDefault="00993E42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B90038" w:rsidRPr="00F403E2" w:rsidRDefault="00A246B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 5</w:t>
            </w:r>
            <w:r w:rsidR="00F05F1A" w:rsidRPr="00F403E2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B90038" w:rsidRPr="00F403E2" w:rsidRDefault="00A246BA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+15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90038" w:rsidRPr="00F403E2" w:rsidRDefault="00B90038" w:rsidP="00B900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03E2">
              <w:rPr>
                <w:color w:val="000000"/>
                <w:sz w:val="22"/>
                <w:szCs w:val="22"/>
                <w:lang w:val="uk-UA"/>
              </w:rPr>
              <w:t>Залізниця/авто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B90038" w:rsidRPr="00F403E2" w:rsidRDefault="00993E42" w:rsidP="00B9003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93E42">
              <w:rPr>
                <w:b/>
                <w:bCs/>
                <w:sz w:val="22"/>
                <w:szCs w:val="22"/>
                <w:lang w:val="uk-UA"/>
              </w:rPr>
              <w:t>10.04.2017-30.04.2017</w:t>
            </w:r>
          </w:p>
        </w:tc>
      </w:tr>
    </w:tbl>
    <w:p w:rsidR="00E377D1" w:rsidRPr="00F403E2" w:rsidRDefault="00E377D1" w:rsidP="00E377D1">
      <w:pPr>
        <w:ind w:firstLine="720"/>
        <w:jc w:val="both"/>
        <w:rPr>
          <w:b/>
          <w:sz w:val="22"/>
          <w:szCs w:val="22"/>
          <w:lang w:val="uk-UA"/>
        </w:rPr>
      </w:pPr>
    </w:p>
    <w:p w:rsidR="00E377D1" w:rsidRPr="00F403E2" w:rsidRDefault="00E377D1" w:rsidP="0028752A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Придбані в ході торгів </w:t>
      </w:r>
      <w:r w:rsidR="005D0AF2" w:rsidRPr="00F403E2">
        <w:rPr>
          <w:sz w:val="26"/>
          <w:szCs w:val="26"/>
          <w:lang w:val="uk-UA"/>
        </w:rPr>
        <w:t>об</w:t>
      </w:r>
      <w:r w:rsidR="0028752A" w:rsidRPr="00F403E2">
        <w:rPr>
          <w:sz w:val="26"/>
          <w:szCs w:val="26"/>
          <w:lang w:val="uk-UA"/>
        </w:rPr>
        <w:t>сяги</w:t>
      </w:r>
      <w:r w:rsidRPr="00F403E2">
        <w:rPr>
          <w:sz w:val="26"/>
          <w:szCs w:val="26"/>
          <w:lang w:val="uk-UA"/>
        </w:rPr>
        <w:t xml:space="preserve"> Товару, будуть доступні до відвантаження </w:t>
      </w:r>
      <w:r w:rsidR="00993E42">
        <w:rPr>
          <w:sz w:val="26"/>
          <w:szCs w:val="26"/>
          <w:lang w:val="uk-UA"/>
        </w:rPr>
        <w:t>шляхом резервування об</w:t>
      </w:r>
      <w:r w:rsidR="00993E42" w:rsidRPr="00993E42">
        <w:rPr>
          <w:sz w:val="26"/>
          <w:szCs w:val="26"/>
        </w:rPr>
        <w:t>’</w:t>
      </w:r>
      <w:proofErr w:type="spellStart"/>
      <w:r w:rsidR="00993E42">
        <w:rPr>
          <w:sz w:val="26"/>
          <w:szCs w:val="26"/>
        </w:rPr>
        <w:t>ємів</w:t>
      </w:r>
      <w:proofErr w:type="spellEnd"/>
      <w:r w:rsidR="00993E42">
        <w:rPr>
          <w:sz w:val="26"/>
          <w:szCs w:val="26"/>
        </w:rPr>
        <w:t xml:space="preserve"> та дат в </w:t>
      </w:r>
      <w:proofErr w:type="spellStart"/>
      <w:r w:rsidR="00993E42">
        <w:rPr>
          <w:sz w:val="26"/>
          <w:szCs w:val="26"/>
        </w:rPr>
        <w:t>системі</w:t>
      </w:r>
      <w:proofErr w:type="spellEnd"/>
      <w:r w:rsidR="00993E42">
        <w:rPr>
          <w:sz w:val="26"/>
          <w:szCs w:val="26"/>
        </w:rPr>
        <w:t xml:space="preserve"> </w:t>
      </w:r>
      <w:proofErr w:type="spellStart"/>
      <w:r w:rsidR="00993E42">
        <w:rPr>
          <w:sz w:val="26"/>
          <w:szCs w:val="26"/>
        </w:rPr>
        <w:t>електронної</w:t>
      </w:r>
      <w:proofErr w:type="spellEnd"/>
      <w:r w:rsidR="00993E42">
        <w:rPr>
          <w:sz w:val="26"/>
          <w:szCs w:val="26"/>
        </w:rPr>
        <w:t xml:space="preserve"> </w:t>
      </w:r>
      <w:proofErr w:type="spellStart"/>
      <w:r w:rsidR="00993E42">
        <w:rPr>
          <w:sz w:val="26"/>
          <w:szCs w:val="26"/>
        </w:rPr>
        <w:t>черги</w:t>
      </w:r>
      <w:proofErr w:type="spellEnd"/>
      <w:r w:rsidR="00993E42">
        <w:rPr>
          <w:sz w:val="26"/>
          <w:szCs w:val="26"/>
        </w:rPr>
        <w:t xml:space="preserve">, </w:t>
      </w:r>
      <w:proofErr w:type="spellStart"/>
      <w:r w:rsidR="00993E42">
        <w:rPr>
          <w:sz w:val="26"/>
          <w:szCs w:val="26"/>
        </w:rPr>
        <w:t>після</w:t>
      </w:r>
      <w:proofErr w:type="spellEnd"/>
      <w:r w:rsidR="00993E42">
        <w:rPr>
          <w:sz w:val="26"/>
          <w:szCs w:val="26"/>
        </w:rPr>
        <w:t xml:space="preserve"> оплати за Товар</w:t>
      </w:r>
      <w:r w:rsidRPr="00F403E2">
        <w:rPr>
          <w:sz w:val="26"/>
          <w:szCs w:val="26"/>
          <w:lang w:val="uk-UA"/>
        </w:rPr>
        <w:t xml:space="preserve">. 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Валюта формування ціни Товару  - </w:t>
      </w:r>
      <w:r w:rsidR="005D0AF2" w:rsidRPr="00F403E2">
        <w:rPr>
          <w:sz w:val="26"/>
          <w:szCs w:val="26"/>
          <w:lang w:val="uk-UA"/>
        </w:rPr>
        <w:t>долари США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Валюта оплати за Товар: </w:t>
      </w:r>
      <w:r w:rsidR="005D0AF2" w:rsidRPr="00F403E2">
        <w:rPr>
          <w:sz w:val="26"/>
          <w:szCs w:val="26"/>
          <w:lang w:val="uk-UA"/>
        </w:rPr>
        <w:t>- гривня Україна</w:t>
      </w:r>
    </w:p>
    <w:p w:rsidR="0028752A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lastRenderedPageBreak/>
        <w:t xml:space="preserve">Умови оплати: 110% попередня оплата </w:t>
      </w:r>
      <w:r w:rsidR="00993E42">
        <w:rPr>
          <w:sz w:val="26"/>
          <w:szCs w:val="26"/>
          <w:lang w:val="uk-UA"/>
        </w:rPr>
        <w:t>придбаної</w:t>
      </w:r>
      <w:r w:rsidRPr="00F403E2">
        <w:rPr>
          <w:sz w:val="26"/>
          <w:szCs w:val="26"/>
          <w:lang w:val="uk-UA"/>
        </w:rPr>
        <w:t xml:space="preserve"> партії Товару</w:t>
      </w:r>
      <w:r w:rsidR="0028752A" w:rsidRPr="00F403E2">
        <w:rPr>
          <w:sz w:val="26"/>
          <w:szCs w:val="26"/>
          <w:lang w:val="uk-UA"/>
        </w:rPr>
        <w:t>.</w:t>
      </w:r>
    </w:p>
    <w:p w:rsidR="0028752A" w:rsidRPr="00F403E2" w:rsidRDefault="0028752A" w:rsidP="0028752A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>Оплата за нафтопродукти по попередній ціні повинна надійти на рахунок Продавця не пізніше</w:t>
      </w:r>
      <w:r w:rsidR="00F86062">
        <w:rPr>
          <w:sz w:val="26"/>
          <w:szCs w:val="26"/>
          <w:lang w:val="uk-UA"/>
        </w:rPr>
        <w:t xml:space="preserve"> 20.04.2017</w:t>
      </w:r>
    </w:p>
    <w:p w:rsidR="0028752A" w:rsidRPr="00823644" w:rsidRDefault="0028752A" w:rsidP="00F86062">
      <w:pPr>
        <w:jc w:val="both"/>
        <w:rPr>
          <w:sz w:val="26"/>
          <w:szCs w:val="26"/>
        </w:rPr>
      </w:pPr>
    </w:p>
    <w:p w:rsidR="0028752A" w:rsidRPr="00F403E2" w:rsidRDefault="0028752A" w:rsidP="0028752A">
      <w:pPr>
        <w:ind w:firstLine="720"/>
        <w:jc w:val="both"/>
        <w:rPr>
          <w:sz w:val="26"/>
          <w:szCs w:val="26"/>
          <w:lang w:val="uk-UA"/>
        </w:rPr>
      </w:pPr>
    </w:p>
    <w:p w:rsidR="00DD502A" w:rsidRPr="00F403E2" w:rsidRDefault="00DD502A" w:rsidP="00DD502A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Попередня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="00037C26">
        <w:rPr>
          <w:b/>
          <w:color w:val="000000"/>
          <w:sz w:val="26"/>
          <w:szCs w:val="26"/>
          <w:lang w:val="uk-UA"/>
        </w:rPr>
        <w:t>бензину А-92-Євро5</w:t>
      </w:r>
      <w:r w:rsidRPr="00F403E2">
        <w:rPr>
          <w:b/>
          <w:color w:val="000000"/>
          <w:sz w:val="26"/>
          <w:szCs w:val="26"/>
          <w:lang w:val="uk-UA"/>
        </w:rPr>
        <w:t>-Е5</w:t>
      </w:r>
      <w:r w:rsidRPr="00F403E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попередня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DD502A" w:rsidRPr="00F403E2" w:rsidRDefault="00DD502A" w:rsidP="00DD502A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="00B71EAF" w:rsidRPr="00F403E2">
        <w:rPr>
          <w:rFonts w:eastAsia="Calibri"/>
          <w:sz w:val="26"/>
          <w:szCs w:val="26"/>
          <w:lang w:val="uk-UA" w:eastAsia="en-US"/>
        </w:rPr>
        <w:t>Eu</w:t>
      </w:r>
      <w:r w:rsidR="000E3EA6">
        <w:rPr>
          <w:rFonts w:eastAsia="Calibri"/>
          <w:sz w:val="26"/>
          <w:szCs w:val="26"/>
          <w:lang w:val="uk-UA" w:eastAsia="en-US"/>
        </w:rPr>
        <w:t>robob</w:t>
      </w:r>
      <w:proofErr w:type="spellEnd"/>
      <w:r w:rsidR="000E3EA6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0E3EA6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="000E3EA6">
        <w:rPr>
          <w:rFonts w:eastAsia="Calibri"/>
          <w:sz w:val="26"/>
          <w:szCs w:val="26"/>
          <w:lang w:val="uk-UA" w:eastAsia="en-US"/>
        </w:rPr>
        <w:t>», з 23 по 29 березня</w:t>
      </w:r>
      <w:r w:rsidRPr="00F403E2">
        <w:rPr>
          <w:rFonts w:eastAsia="Calibri"/>
          <w:sz w:val="26"/>
          <w:szCs w:val="26"/>
          <w:lang w:val="uk-UA" w:eastAsia="en-US"/>
        </w:rPr>
        <w:t xml:space="preserve"> включно. Середнє значення котирувань округлюється до третього знаку після коми.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 1</w:t>
      </w:r>
      <w:r w:rsidR="000E3EA6">
        <w:rPr>
          <w:rFonts w:eastAsia="Calibri"/>
          <w:sz w:val="26"/>
          <w:szCs w:val="26"/>
          <w:lang w:val="uk-UA" w:eastAsia="en-US"/>
        </w:rPr>
        <w:t xml:space="preserve"> по 29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r w:rsidR="000E3EA6">
        <w:rPr>
          <w:rFonts w:eastAsia="Calibri"/>
          <w:sz w:val="26"/>
          <w:szCs w:val="26"/>
          <w:lang w:val="uk-UA" w:eastAsia="en-US"/>
        </w:rPr>
        <w:t>березня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5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DD502A" w:rsidRPr="00F403E2" w:rsidRDefault="00DD502A" w:rsidP="00E904E4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="00B71EAF" w:rsidRPr="00F403E2">
        <w:rPr>
          <w:rFonts w:eastAsia="Calibri"/>
          <w:bCs/>
          <w:sz w:val="26"/>
          <w:szCs w:val="26"/>
          <w:lang w:val="uk-UA" w:eastAsia="en-US"/>
        </w:rPr>
        <w:t xml:space="preserve"> =(213</w:t>
      </w:r>
      <w:r w:rsidR="00E904E4" w:rsidRPr="00F403E2">
        <w:rPr>
          <w:rFonts w:eastAsia="Calibri"/>
          <w:bCs/>
          <w:sz w:val="26"/>
          <w:szCs w:val="26"/>
          <w:lang w:val="uk-UA" w:eastAsia="en-US"/>
        </w:rPr>
        <w:t>,</w:t>
      </w:r>
      <w:r w:rsidRPr="00F403E2">
        <w:rPr>
          <w:rFonts w:eastAsia="Calibri"/>
          <w:bCs/>
          <w:sz w:val="26"/>
          <w:szCs w:val="26"/>
          <w:lang w:val="uk-UA" w:eastAsia="en-US"/>
        </w:rPr>
        <w:t>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F403E2">
        <w:rPr>
          <w:rFonts w:eastAsia="Calibri"/>
          <w:sz w:val="26"/>
          <w:szCs w:val="26"/>
          <w:lang w:val="uk-UA" w:eastAsia="en-US"/>
        </w:rPr>
        <w:t>за місяць, що передує  періоду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>,</w:t>
      </w:r>
    </w:p>
    <w:p w:rsidR="00DD502A" w:rsidRPr="00F403E2" w:rsidRDefault="00DD502A" w:rsidP="00DD502A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</w:t>
      </w:r>
    </w:p>
    <w:p w:rsidR="00DD502A" w:rsidRPr="00F403E2" w:rsidRDefault="00DD502A" w:rsidP="00DD502A">
      <w:pPr>
        <w:ind w:firstLine="720"/>
        <w:jc w:val="both"/>
        <w:rPr>
          <w:b/>
          <w:sz w:val="26"/>
          <w:szCs w:val="26"/>
          <w:lang w:val="uk-UA"/>
        </w:rPr>
      </w:pPr>
    </w:p>
    <w:p w:rsidR="00DD502A" w:rsidRPr="00F403E2" w:rsidRDefault="00DD502A" w:rsidP="00E904E4">
      <w:pPr>
        <w:tabs>
          <w:tab w:val="left" w:pos="270"/>
        </w:tabs>
        <w:spacing w:after="200" w:line="276" w:lineRule="auto"/>
        <w:ind w:right="33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Кінцева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="00037C26">
        <w:rPr>
          <w:b/>
          <w:color w:val="000000"/>
          <w:sz w:val="26"/>
          <w:szCs w:val="26"/>
          <w:lang w:val="uk-UA"/>
        </w:rPr>
        <w:t>бензину А-92-Євро5</w:t>
      </w:r>
      <w:r w:rsidRPr="00F403E2">
        <w:rPr>
          <w:b/>
          <w:color w:val="000000"/>
          <w:sz w:val="26"/>
          <w:szCs w:val="26"/>
          <w:lang w:val="uk-UA"/>
        </w:rPr>
        <w:t xml:space="preserve">-Е5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2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="00E904E4"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кінцева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DD502A" w:rsidRPr="00F403E2" w:rsidRDefault="00DD502A" w:rsidP="00DD502A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="00B71EAF" w:rsidRPr="00F403E2">
        <w:rPr>
          <w:rFonts w:eastAsia="Calibri"/>
          <w:sz w:val="26"/>
          <w:szCs w:val="26"/>
          <w:lang w:val="uk-UA" w:eastAsia="en-US"/>
        </w:rPr>
        <w:t>Eu</w:t>
      </w:r>
      <w:r w:rsidRPr="00F403E2">
        <w:rPr>
          <w:rFonts w:eastAsia="Calibri"/>
          <w:sz w:val="26"/>
          <w:szCs w:val="26"/>
          <w:lang w:val="uk-UA" w:eastAsia="en-US"/>
        </w:rPr>
        <w:t>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»,, за всі дні публікацій місяця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="00E904E4"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за місяць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6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F403E2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DD502A" w:rsidRPr="00F403E2" w:rsidRDefault="00DD502A" w:rsidP="00E904E4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DD502A" w:rsidRPr="00F403E2" w:rsidRDefault="00DD502A" w:rsidP="00DD502A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lastRenderedPageBreak/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</w:t>
      </w:r>
      <w:r w:rsidR="00B71EAF" w:rsidRPr="00F403E2">
        <w:rPr>
          <w:rFonts w:eastAsia="Calibri"/>
          <w:bCs/>
          <w:sz w:val="26"/>
          <w:szCs w:val="26"/>
          <w:lang w:val="uk-UA" w:eastAsia="en-US"/>
        </w:rPr>
        <w:t>213</w:t>
      </w:r>
      <w:r w:rsidR="00E904E4" w:rsidRPr="00F403E2">
        <w:rPr>
          <w:rFonts w:eastAsia="Calibri"/>
          <w:bCs/>
          <w:sz w:val="26"/>
          <w:szCs w:val="26"/>
          <w:lang w:val="uk-UA" w:eastAsia="en-US"/>
        </w:rPr>
        <w:t>,</w:t>
      </w:r>
      <w:r w:rsidRPr="00F403E2">
        <w:rPr>
          <w:rFonts w:eastAsia="Calibri"/>
          <w:bCs/>
          <w:sz w:val="26"/>
          <w:szCs w:val="26"/>
          <w:lang w:val="uk-UA" w:eastAsia="en-US"/>
        </w:rPr>
        <w:t>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F403E2">
        <w:rPr>
          <w:rFonts w:eastAsia="Calibri"/>
          <w:sz w:val="26"/>
          <w:szCs w:val="26"/>
          <w:lang w:val="uk-UA" w:eastAsia="en-US"/>
        </w:rPr>
        <w:t>за місяць, в якому здійснювалось відвантаження</w:t>
      </w:r>
    </w:p>
    <w:p w:rsidR="00DD502A" w:rsidRPr="00F403E2" w:rsidRDefault="00DD502A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20%.</w:t>
      </w:r>
    </w:p>
    <w:p w:rsidR="00B71EAF" w:rsidRPr="00F403E2" w:rsidRDefault="00B71EAF" w:rsidP="00DD502A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B71EAF" w:rsidRPr="00F403E2" w:rsidRDefault="00B71EAF" w:rsidP="00B71EAF">
      <w:pPr>
        <w:spacing w:after="200" w:line="276" w:lineRule="auto"/>
        <w:ind w:firstLine="708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Попередня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Pr="00F403E2">
        <w:rPr>
          <w:b/>
          <w:color w:val="000000"/>
          <w:sz w:val="26"/>
          <w:szCs w:val="26"/>
          <w:lang w:val="uk-UA"/>
        </w:rPr>
        <w:t>бензину А-95-Євро5-Е5</w:t>
      </w:r>
      <w:r w:rsidRPr="00F403E2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1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попередня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B71EAF" w:rsidRPr="00F403E2" w:rsidRDefault="00B71EAF" w:rsidP="00B71EA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lср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 </w:t>
      </w:r>
      <w:r w:rsidR="000E3EA6">
        <w:rPr>
          <w:rFonts w:eastAsia="Calibri"/>
          <w:sz w:val="26"/>
          <w:szCs w:val="26"/>
          <w:lang w:val="uk-UA" w:eastAsia="en-US"/>
        </w:rPr>
        <w:t>з 23 по 29 березня</w:t>
      </w:r>
      <w:r w:rsidR="000E3EA6" w:rsidRPr="00F403E2">
        <w:rPr>
          <w:rFonts w:eastAsia="Calibri"/>
          <w:sz w:val="26"/>
          <w:szCs w:val="26"/>
          <w:lang w:val="uk-UA" w:eastAsia="en-US"/>
        </w:rPr>
        <w:t xml:space="preserve"> включно</w:t>
      </w:r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1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середнє значення офіційного курсу гривні до долара США, </w:t>
      </w:r>
      <w:r w:rsidR="000E3EA6">
        <w:rPr>
          <w:rFonts w:eastAsia="Calibri"/>
          <w:sz w:val="26"/>
          <w:szCs w:val="26"/>
          <w:lang w:val="uk-UA" w:eastAsia="en-US"/>
        </w:rPr>
        <w:t xml:space="preserve">з 1 по 29 березня включно,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що зазначений на сайті Національного Банку України за посиланням </w:t>
      </w:r>
      <w:hyperlink r:id="rId7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</w:p>
    <w:p w:rsidR="00B71EAF" w:rsidRPr="00F403E2" w:rsidRDefault="00B71EAF" w:rsidP="00B71EA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 </w:t>
      </w:r>
      <w:r w:rsidRPr="00F403E2">
        <w:rPr>
          <w:rFonts w:eastAsia="Calibri"/>
          <w:sz w:val="26"/>
          <w:szCs w:val="26"/>
          <w:lang w:val="uk-UA" w:eastAsia="en-US"/>
        </w:rPr>
        <w:t>за місяць, що передує  періоду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>,</w:t>
      </w:r>
    </w:p>
    <w:p w:rsidR="00B71EAF" w:rsidRPr="00F403E2" w:rsidRDefault="00B71EAF" w:rsidP="00B71EAF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</w:t>
      </w:r>
    </w:p>
    <w:p w:rsidR="00B71EAF" w:rsidRPr="00F403E2" w:rsidRDefault="00B71EAF" w:rsidP="00B71EAF">
      <w:pPr>
        <w:ind w:firstLine="720"/>
        <w:jc w:val="both"/>
        <w:rPr>
          <w:b/>
          <w:sz w:val="26"/>
          <w:szCs w:val="26"/>
          <w:lang w:val="uk-UA"/>
        </w:rPr>
      </w:pPr>
    </w:p>
    <w:p w:rsidR="00B71EAF" w:rsidRPr="00F403E2" w:rsidRDefault="00B71EAF" w:rsidP="00B71EAF">
      <w:pPr>
        <w:tabs>
          <w:tab w:val="left" w:pos="270"/>
        </w:tabs>
        <w:spacing w:after="200" w:line="276" w:lineRule="auto"/>
        <w:ind w:right="33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sz w:val="26"/>
          <w:szCs w:val="26"/>
          <w:lang w:val="uk-UA" w:eastAsia="en-US"/>
        </w:rPr>
        <w:t xml:space="preserve">Кінцева ціна за одну </w:t>
      </w:r>
      <w:r w:rsidR="001D4708" w:rsidRPr="00F403E2">
        <w:rPr>
          <w:rFonts w:eastAsia="Calibri"/>
          <w:sz w:val="26"/>
          <w:szCs w:val="26"/>
          <w:lang w:val="uk-UA" w:eastAsia="en-US"/>
        </w:rPr>
        <w:t xml:space="preserve">тонну </w:t>
      </w:r>
      <w:r w:rsidRPr="00F403E2">
        <w:rPr>
          <w:b/>
          <w:color w:val="000000"/>
          <w:sz w:val="26"/>
          <w:szCs w:val="26"/>
          <w:lang w:val="uk-UA"/>
        </w:rPr>
        <w:t xml:space="preserve">бензину </w:t>
      </w:r>
      <w:r w:rsidR="00F403E2" w:rsidRPr="00F403E2">
        <w:rPr>
          <w:b/>
          <w:color w:val="000000"/>
          <w:sz w:val="26"/>
          <w:szCs w:val="26"/>
          <w:lang w:val="uk-UA"/>
        </w:rPr>
        <w:t xml:space="preserve">А-95-Євро5-Е5 </w:t>
      </w:r>
      <w:r w:rsidRPr="00F403E2">
        <w:rPr>
          <w:rFonts w:eastAsia="Calibri"/>
          <w:sz w:val="26"/>
          <w:szCs w:val="26"/>
          <w:lang w:val="uk-UA" w:eastAsia="en-US"/>
        </w:rPr>
        <w:t>без врахування вартості транспортування визначається за формулою: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 xml:space="preserve">2 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>= ((P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 + D)*K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+ </w:t>
      </w: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/>
          <w:bCs/>
          <w:sz w:val="26"/>
          <w:szCs w:val="26"/>
          <w:lang w:val="uk-UA" w:eastAsia="en-US"/>
        </w:rPr>
        <w:t xml:space="preserve">)+N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де: </w:t>
      </w: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</w:p>
    <w:p w:rsidR="00B71EAF" w:rsidRPr="00F403E2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Р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– кінцева ціна за одну </w:t>
      </w:r>
      <w:r w:rsidR="001D4708" w:rsidRPr="00F403E2">
        <w:rPr>
          <w:rFonts w:eastAsia="Calibri"/>
          <w:bCs/>
          <w:sz w:val="26"/>
          <w:szCs w:val="26"/>
          <w:lang w:val="uk-UA" w:eastAsia="en-US"/>
        </w:rPr>
        <w:t xml:space="preserve">тонну </w:t>
      </w:r>
      <w:r w:rsidRPr="00F403E2">
        <w:rPr>
          <w:rFonts w:eastAsia="Calibri"/>
          <w:bCs/>
          <w:sz w:val="26"/>
          <w:szCs w:val="26"/>
          <w:lang w:val="uk-UA" w:eastAsia="en-US"/>
        </w:rPr>
        <w:t>нафтопродуктів, в грн;</w:t>
      </w:r>
    </w:p>
    <w:p w:rsidR="00B71EAF" w:rsidRPr="00F403E2" w:rsidRDefault="00B71EAF" w:rsidP="00B71EAF">
      <w:pPr>
        <w:tabs>
          <w:tab w:val="left" w:pos="270"/>
          <w:tab w:val="left" w:pos="426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P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2ср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–  </w:t>
      </w:r>
      <w:r w:rsidRPr="00F403E2">
        <w:rPr>
          <w:rFonts w:eastAsia="Calibri"/>
          <w:sz w:val="26"/>
          <w:szCs w:val="26"/>
          <w:lang w:val="uk-UA" w:eastAsia="en-US"/>
        </w:rPr>
        <w:t xml:space="preserve">середнє арифметичне усіх середніх котирувань на бензин, опублікованих службою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sz w:val="26"/>
          <w:szCs w:val="26"/>
          <w:lang w:val="uk-UA"/>
        </w:rPr>
        <w:t>Argus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European</w:t>
      </w:r>
      <w:proofErr w:type="spellEnd"/>
      <w:r w:rsidRPr="00F403E2">
        <w:rPr>
          <w:sz w:val="26"/>
          <w:szCs w:val="26"/>
          <w:lang w:val="uk-UA"/>
        </w:rPr>
        <w:t xml:space="preserve"> </w:t>
      </w:r>
      <w:proofErr w:type="spellStart"/>
      <w:r w:rsidRPr="00F403E2">
        <w:rPr>
          <w:sz w:val="26"/>
          <w:szCs w:val="26"/>
          <w:lang w:val="uk-UA"/>
        </w:rPr>
        <w:t>Product</w:t>
      </w:r>
      <w:proofErr w:type="spellEnd"/>
      <w:r w:rsidR="00C85EDF">
        <w:rPr>
          <w:sz w:val="26"/>
          <w:szCs w:val="26"/>
          <w:lang w:val="en-US"/>
        </w:rPr>
        <w:t>s</w:t>
      </w:r>
      <w:r w:rsidRPr="00F403E2">
        <w:rPr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 xml:space="preserve">в розділі </w:t>
      </w:r>
      <w:r w:rsidRPr="00F403E2">
        <w:rPr>
          <w:sz w:val="26"/>
          <w:szCs w:val="26"/>
          <w:lang w:val="uk-UA"/>
        </w:rPr>
        <w:t>«</w:t>
      </w:r>
      <w:proofErr w:type="spellStart"/>
      <w:r w:rsidRPr="00F403E2">
        <w:rPr>
          <w:color w:val="000000"/>
          <w:sz w:val="26"/>
          <w:szCs w:val="26"/>
          <w:lang w:val="uk-UA"/>
        </w:rPr>
        <w:t>Northwest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F403E2">
        <w:rPr>
          <w:color w:val="000000"/>
          <w:sz w:val="26"/>
          <w:szCs w:val="26"/>
          <w:lang w:val="uk-UA"/>
        </w:rPr>
        <w:t>Europe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F403E2">
        <w:rPr>
          <w:color w:val="000000"/>
          <w:sz w:val="26"/>
          <w:szCs w:val="26"/>
          <w:lang w:val="uk-UA"/>
        </w:rPr>
        <w:t>barge</w:t>
      </w:r>
      <w:proofErr w:type="spellEnd"/>
      <w:r w:rsidRPr="00F403E2">
        <w:rPr>
          <w:color w:val="000000"/>
          <w:sz w:val="26"/>
          <w:szCs w:val="26"/>
          <w:lang w:val="uk-UA"/>
        </w:rPr>
        <w:t xml:space="preserve">» </w:t>
      </w:r>
      <w:r w:rsidRPr="00F403E2">
        <w:rPr>
          <w:rFonts w:eastAsia="Calibri"/>
          <w:sz w:val="26"/>
          <w:szCs w:val="26"/>
          <w:lang w:val="uk-UA" w:eastAsia="en-US"/>
        </w:rPr>
        <w:t>під заголовком «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Eurobob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oxy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»,, за всі дні публікацій місяця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відвантажень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>. Середнє значення котирувань округлюється до третього знаку після коми.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D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 ринковий диференціал у розмірі, що передбачено у відповідному біржовому свідоцтві </w:t>
      </w:r>
      <w:proofErr w:type="spellStart"/>
      <w:r w:rsidRPr="00F403E2">
        <w:rPr>
          <w:rFonts w:eastAsia="Calibri"/>
          <w:sz w:val="26"/>
          <w:szCs w:val="26"/>
          <w:lang w:val="uk-UA" w:eastAsia="en-US"/>
        </w:rPr>
        <w:t>дол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. США за </w:t>
      </w:r>
      <w:r w:rsidR="001D4708" w:rsidRPr="00F403E2">
        <w:rPr>
          <w:rFonts w:eastAsia="Calibri"/>
          <w:sz w:val="26"/>
          <w:szCs w:val="26"/>
          <w:lang w:val="uk-UA" w:eastAsia="en-US"/>
        </w:rPr>
        <w:t>тонну</w:t>
      </w:r>
      <w:r w:rsidRPr="00F403E2">
        <w:rPr>
          <w:rFonts w:eastAsia="Calibri"/>
          <w:sz w:val="26"/>
          <w:szCs w:val="26"/>
          <w:lang w:val="uk-UA" w:eastAsia="en-US"/>
        </w:rPr>
        <w:t>.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09" w:right="33"/>
        <w:jc w:val="both"/>
        <w:rPr>
          <w:rFonts w:eastAsia="Calibri"/>
          <w:bCs/>
          <w:sz w:val="26"/>
          <w:szCs w:val="26"/>
          <w:lang w:val="uk-UA" w:eastAsia="en-US"/>
        </w:rPr>
      </w:pPr>
      <w:r w:rsidRPr="00F403E2">
        <w:rPr>
          <w:rFonts w:eastAsia="Calibri"/>
          <w:b/>
          <w:bCs/>
          <w:sz w:val="26"/>
          <w:szCs w:val="26"/>
          <w:lang w:val="uk-UA" w:eastAsia="en-US"/>
        </w:rPr>
        <w:t>K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2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середнє значення офіційного курсу гривні до долара США, </w:t>
      </w:r>
      <w:r w:rsidRPr="00F403E2">
        <w:rPr>
          <w:rFonts w:eastAsia="Calibri"/>
          <w:sz w:val="26"/>
          <w:szCs w:val="26"/>
          <w:lang w:val="uk-UA" w:eastAsia="en-US"/>
        </w:rPr>
        <w:t>за місяць відвантаження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, що зазначений на сайті Національного Банку України за посиланням </w:t>
      </w:r>
      <w:hyperlink r:id="rId8" w:history="1">
        <w:r w:rsidRPr="00F403E2">
          <w:rPr>
            <w:rFonts w:eastAsia="Calibri"/>
            <w:bCs/>
            <w:color w:val="0000FF"/>
            <w:sz w:val="26"/>
            <w:szCs w:val="26"/>
            <w:u w:val="single"/>
            <w:lang w:val="uk-UA" w:eastAsia="en-US"/>
          </w:rPr>
          <w:t>www.bank.gov.ua/files/Exchange_r.xls</w:t>
        </w:r>
      </w:hyperlink>
      <w:r w:rsidRPr="00F403E2">
        <w:rPr>
          <w:rFonts w:eastAsia="Calibri"/>
          <w:bCs/>
          <w:sz w:val="26"/>
          <w:szCs w:val="26"/>
          <w:lang w:val="uk-UA" w:eastAsia="en-US"/>
        </w:rPr>
        <w:t xml:space="preserve">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right="33" w:firstLine="709"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sz w:val="26"/>
          <w:szCs w:val="26"/>
          <w:lang w:val="uk-UA" w:eastAsia="en-US"/>
        </w:rPr>
        <w:t xml:space="preserve"> –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 ставка акцизного податку, який діє в період поставки грн./т. </w:t>
      </w:r>
    </w:p>
    <w:p w:rsidR="00B71EAF" w:rsidRPr="00F403E2" w:rsidRDefault="00B71EAF" w:rsidP="00B71EAF">
      <w:pPr>
        <w:tabs>
          <w:tab w:val="left" w:pos="270"/>
          <w:tab w:val="left" w:pos="4855"/>
        </w:tabs>
        <w:ind w:left="720" w:right="33"/>
        <w:contextualSpacing/>
        <w:jc w:val="both"/>
        <w:rPr>
          <w:rFonts w:eastAsia="Calibri"/>
          <w:bCs/>
          <w:sz w:val="26"/>
          <w:szCs w:val="26"/>
          <w:lang w:val="uk-UA" w:eastAsia="en-US"/>
        </w:rPr>
      </w:pPr>
      <w:proofErr w:type="spellStart"/>
      <w:r w:rsidRPr="00F403E2">
        <w:rPr>
          <w:rFonts w:eastAsia="Calibri"/>
          <w:b/>
          <w:bCs/>
          <w:sz w:val="26"/>
          <w:szCs w:val="26"/>
          <w:lang w:val="uk-UA" w:eastAsia="en-US"/>
        </w:rPr>
        <w:lastRenderedPageBreak/>
        <w:t>A</w:t>
      </w:r>
      <w:r w:rsidRPr="00F403E2">
        <w:rPr>
          <w:rFonts w:eastAsia="Calibri"/>
          <w:b/>
          <w:bCs/>
          <w:sz w:val="26"/>
          <w:szCs w:val="26"/>
          <w:vertAlign w:val="subscript"/>
          <w:lang w:val="uk-UA" w:eastAsia="en-US"/>
        </w:rPr>
        <w:t>k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 =(213,50€*</w:t>
      </w:r>
      <w:r w:rsidRPr="00F403E2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lang w:val="uk-UA" w:eastAsia="en-US"/>
        </w:rPr>
        <w:t xml:space="preserve">)/ρ , де </w:t>
      </w:r>
      <w:proofErr w:type="spellStart"/>
      <w:r w:rsidRPr="00F403E2">
        <w:rPr>
          <w:rFonts w:eastAsia="Calibri"/>
          <w:bCs/>
          <w:sz w:val="26"/>
          <w:szCs w:val="26"/>
          <w:lang w:val="uk-UA" w:eastAsia="en-US"/>
        </w:rPr>
        <w:t>К</w:t>
      </w:r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>є</w:t>
      </w:r>
      <w:proofErr w:type="spellEnd"/>
      <w:r w:rsidRPr="00F403E2">
        <w:rPr>
          <w:rFonts w:eastAsia="Calibri"/>
          <w:bCs/>
          <w:sz w:val="26"/>
          <w:szCs w:val="26"/>
          <w:vertAlign w:val="subscript"/>
          <w:lang w:val="uk-UA" w:eastAsia="en-US"/>
        </w:rPr>
        <w:t xml:space="preserve">  </w:t>
      </w:r>
      <w:r w:rsidRPr="00F403E2">
        <w:rPr>
          <w:rFonts w:eastAsia="Calibri"/>
          <w:bCs/>
          <w:sz w:val="26"/>
          <w:szCs w:val="26"/>
          <w:lang w:val="uk-UA" w:eastAsia="en-US"/>
        </w:rPr>
        <w:t xml:space="preserve">- офіційний курс євро до гривні  на першу дату кварталу відвантаження, ρ – середня густина </w:t>
      </w:r>
      <w:r w:rsidRPr="00F403E2">
        <w:rPr>
          <w:rFonts w:eastAsia="Calibri"/>
          <w:sz w:val="26"/>
          <w:szCs w:val="26"/>
          <w:lang w:val="uk-UA" w:eastAsia="en-US"/>
        </w:rPr>
        <w:t>за місяць, в якому здійснювалось відвантаження</w:t>
      </w:r>
    </w:p>
    <w:p w:rsidR="00B71EAF" w:rsidRDefault="00B71EAF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F403E2">
        <w:rPr>
          <w:rFonts w:eastAsia="Calibri"/>
          <w:b/>
          <w:sz w:val="26"/>
          <w:szCs w:val="26"/>
          <w:lang w:val="uk-UA" w:eastAsia="en-US"/>
        </w:rPr>
        <w:t>N</w:t>
      </w:r>
      <w:r w:rsidRPr="00F403E2">
        <w:rPr>
          <w:rFonts w:eastAsia="Calibri"/>
          <w:sz w:val="26"/>
          <w:szCs w:val="26"/>
          <w:lang w:val="uk-UA" w:eastAsia="en-US"/>
        </w:rPr>
        <w:t xml:space="preserve"> – ставка податку на додану вартість 20%.</w:t>
      </w:r>
    </w:p>
    <w:p w:rsidR="00037C26" w:rsidRDefault="00037C26" w:rsidP="00B71EAF">
      <w:pPr>
        <w:tabs>
          <w:tab w:val="left" w:pos="270"/>
          <w:tab w:val="left" w:pos="4855"/>
        </w:tabs>
        <w:spacing w:after="200" w:line="276" w:lineRule="auto"/>
        <w:ind w:left="720" w:right="33"/>
        <w:contextualSpacing/>
        <w:jc w:val="both"/>
        <w:rPr>
          <w:rFonts w:eastAsia="Calibri"/>
          <w:sz w:val="26"/>
          <w:szCs w:val="26"/>
          <w:lang w:val="uk-UA" w:eastAsia="en-US"/>
        </w:rPr>
      </w:pPr>
    </w:p>
    <w:p w:rsidR="00037C26" w:rsidRPr="00B01661" w:rsidRDefault="00037C26" w:rsidP="00B01661">
      <w:pPr>
        <w:tabs>
          <w:tab w:val="left" w:pos="270"/>
          <w:tab w:val="left" w:pos="4855"/>
        </w:tabs>
        <w:ind w:right="33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B71EAF" w:rsidRPr="00A246BA" w:rsidRDefault="00A246BA" w:rsidP="00A246BA">
      <w:pPr>
        <w:ind w:left="720"/>
        <w:jc w:val="both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>Додаткові умови:</w:t>
      </w:r>
    </w:p>
    <w:p w:rsidR="00E377D1" w:rsidRPr="00F403E2" w:rsidRDefault="00E377D1" w:rsidP="006D6428">
      <w:pPr>
        <w:ind w:firstLine="708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У випадку зниження переробки, або тимчасового припинення випуску Товару </w:t>
      </w:r>
      <w:proofErr w:type="spellStart"/>
      <w:r w:rsidRPr="00F403E2">
        <w:rPr>
          <w:sz w:val="26"/>
          <w:szCs w:val="26"/>
          <w:lang w:val="uk-UA"/>
        </w:rPr>
        <w:t>Шебелинським</w:t>
      </w:r>
      <w:proofErr w:type="spellEnd"/>
      <w:r w:rsidRPr="00F403E2">
        <w:rPr>
          <w:sz w:val="26"/>
          <w:szCs w:val="26"/>
          <w:lang w:val="uk-UA"/>
        </w:rPr>
        <w:t xml:space="preserve"> ВПГКН, Покупець приймає фактичну кількість Товару, та не вимагає поставки узгодженої </w:t>
      </w:r>
      <w:r w:rsidR="002A0CF2" w:rsidRPr="00F403E2">
        <w:rPr>
          <w:sz w:val="26"/>
          <w:szCs w:val="26"/>
          <w:lang w:val="uk-UA"/>
        </w:rPr>
        <w:t>партії товару в повному обсязі.</w:t>
      </w:r>
    </w:p>
    <w:p w:rsidR="00E377D1" w:rsidRPr="00F403E2" w:rsidRDefault="00E377D1" w:rsidP="00E377D1">
      <w:pPr>
        <w:ind w:firstLine="720"/>
        <w:jc w:val="both"/>
        <w:rPr>
          <w:sz w:val="26"/>
          <w:szCs w:val="26"/>
          <w:lang w:val="uk-UA"/>
        </w:rPr>
      </w:pPr>
      <w:r w:rsidRPr="00F403E2">
        <w:rPr>
          <w:sz w:val="26"/>
          <w:szCs w:val="26"/>
          <w:lang w:val="uk-UA"/>
        </w:rPr>
        <w:t xml:space="preserve">У випадку неможливості постачання Товару у </w:t>
      </w:r>
      <w:r w:rsidR="002A0CF2" w:rsidRPr="00F403E2">
        <w:rPr>
          <w:sz w:val="26"/>
          <w:szCs w:val="26"/>
          <w:lang w:val="uk-UA"/>
        </w:rPr>
        <w:t>зв’язку</w:t>
      </w:r>
      <w:r w:rsidRPr="00F403E2">
        <w:rPr>
          <w:sz w:val="26"/>
          <w:szCs w:val="26"/>
          <w:lang w:val="uk-UA"/>
        </w:rPr>
        <w:t xml:space="preserve"> з причинами, що не залежать від Продавця, а також у випадку порушення Покупцем умов оплати, термінів підписання додаткових угод (до контракту постачання) про формування ціни на Товар, Продавець вправі зменшити кількість постачання Товару. При цьому Продавець </w:t>
      </w:r>
      <w:r w:rsidR="007A1053" w:rsidRPr="00F403E2">
        <w:rPr>
          <w:sz w:val="26"/>
          <w:szCs w:val="26"/>
          <w:lang w:val="uk-UA"/>
        </w:rPr>
        <w:t>зобов’язується</w:t>
      </w:r>
      <w:r w:rsidRPr="00F403E2">
        <w:rPr>
          <w:sz w:val="26"/>
          <w:szCs w:val="26"/>
          <w:lang w:val="uk-UA"/>
        </w:rPr>
        <w:t xml:space="preserve"> докласти усіх зусиль для забезпечення постачання погоджених партій Товару в повному обсязі.</w:t>
      </w:r>
    </w:p>
    <w:p w:rsidR="00802A6C" w:rsidRPr="00802A6C" w:rsidRDefault="00802A6C">
      <w:pPr>
        <w:rPr>
          <w:sz w:val="18"/>
          <w:szCs w:val="18"/>
          <w:lang w:val="uk-UA"/>
        </w:rPr>
      </w:pPr>
    </w:p>
    <w:sectPr w:rsidR="00802A6C" w:rsidRPr="00802A6C" w:rsidSect="0029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6C5"/>
    <w:multiLevelType w:val="hybridMultilevel"/>
    <w:tmpl w:val="C77C7AD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1D5F"/>
    <w:multiLevelType w:val="hybridMultilevel"/>
    <w:tmpl w:val="0D6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1"/>
    <w:rsid w:val="00037C26"/>
    <w:rsid w:val="0008405F"/>
    <w:rsid w:val="000E3EA6"/>
    <w:rsid w:val="0010061B"/>
    <w:rsid w:val="001018B5"/>
    <w:rsid w:val="001A2008"/>
    <w:rsid w:val="001D4708"/>
    <w:rsid w:val="001F4B35"/>
    <w:rsid w:val="00213CE9"/>
    <w:rsid w:val="0028752A"/>
    <w:rsid w:val="00290C3D"/>
    <w:rsid w:val="00291817"/>
    <w:rsid w:val="002A0CF2"/>
    <w:rsid w:val="002A155F"/>
    <w:rsid w:val="002D0639"/>
    <w:rsid w:val="002D0AB4"/>
    <w:rsid w:val="003A2AF0"/>
    <w:rsid w:val="00406C34"/>
    <w:rsid w:val="00441FB9"/>
    <w:rsid w:val="00485F1E"/>
    <w:rsid w:val="004B3276"/>
    <w:rsid w:val="004F0A63"/>
    <w:rsid w:val="005D0AF2"/>
    <w:rsid w:val="005D61E8"/>
    <w:rsid w:val="00662DEF"/>
    <w:rsid w:val="006B7CFD"/>
    <w:rsid w:val="006C686F"/>
    <w:rsid w:val="006D6428"/>
    <w:rsid w:val="006F6161"/>
    <w:rsid w:val="00760A0C"/>
    <w:rsid w:val="007A1053"/>
    <w:rsid w:val="007E5256"/>
    <w:rsid w:val="007F223B"/>
    <w:rsid w:val="00802A6C"/>
    <w:rsid w:val="00823644"/>
    <w:rsid w:val="00914A92"/>
    <w:rsid w:val="009717B6"/>
    <w:rsid w:val="00993E42"/>
    <w:rsid w:val="00995AC7"/>
    <w:rsid w:val="009B70D4"/>
    <w:rsid w:val="00A246BA"/>
    <w:rsid w:val="00A828C7"/>
    <w:rsid w:val="00AC1247"/>
    <w:rsid w:val="00B01661"/>
    <w:rsid w:val="00B17270"/>
    <w:rsid w:val="00B320CD"/>
    <w:rsid w:val="00B71EAF"/>
    <w:rsid w:val="00B90038"/>
    <w:rsid w:val="00C31103"/>
    <w:rsid w:val="00C85EDF"/>
    <w:rsid w:val="00C9497F"/>
    <w:rsid w:val="00CF017E"/>
    <w:rsid w:val="00CF4439"/>
    <w:rsid w:val="00DA69E4"/>
    <w:rsid w:val="00DB6DD8"/>
    <w:rsid w:val="00DC07FD"/>
    <w:rsid w:val="00DD502A"/>
    <w:rsid w:val="00E25F01"/>
    <w:rsid w:val="00E377D1"/>
    <w:rsid w:val="00E473C0"/>
    <w:rsid w:val="00E601F4"/>
    <w:rsid w:val="00E904E4"/>
    <w:rsid w:val="00EB2537"/>
    <w:rsid w:val="00F05F1A"/>
    <w:rsid w:val="00F403E2"/>
    <w:rsid w:val="00F73EFB"/>
    <w:rsid w:val="00F86062"/>
    <w:rsid w:val="00FC3399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7CC"/>
  <w15:chartTrackingRefBased/>
  <w15:docId w15:val="{F7C31EF9-3E66-4C31-8BB8-266705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92"/>
    <w:pPr>
      <w:ind w:left="720"/>
      <w:contextualSpacing/>
    </w:pPr>
  </w:style>
  <w:style w:type="paragraph" w:styleId="a4">
    <w:name w:val="No Spacing"/>
    <w:uiPriority w:val="1"/>
    <w:qFormat/>
    <w:rsid w:val="006D642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5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7F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07F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03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files/Exchange_r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.gov.ua/files/Exchange_r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.gov.ua/files/Exchange_r.xls" TargetMode="External"/><Relationship Id="rId5" Type="http://schemas.openxmlformats.org/officeDocument/2006/relationships/hyperlink" Target="http://www.bank.gov.ua/files/Exchange_r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4394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Юрій</dc:creator>
  <cp:keywords/>
  <dc:description/>
  <cp:lastModifiedBy>Кузьмин Юрій</cp:lastModifiedBy>
  <cp:revision>4</cp:revision>
  <cp:lastPrinted>2017-02-03T10:06:00Z</cp:lastPrinted>
  <dcterms:created xsi:type="dcterms:W3CDTF">2017-03-31T08:14:00Z</dcterms:created>
  <dcterms:modified xsi:type="dcterms:W3CDTF">2017-03-31T08:33:00Z</dcterms:modified>
</cp:coreProperties>
</file>